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99"/>
        <w:ind w:left="4536"/>
        <w:jc w:val="both"/>
        <w:spacing w:after="0" w:line="240" w:lineRule="auto"/>
        <w:rPr>
          <w:sz w:val="18"/>
          <w:szCs w:val="18"/>
          <w:highlight w:val="none"/>
        </w:rPr>
      </w:pPr>
      <w:r>
        <w:rPr>
          <w:sz w:val="18"/>
          <w:szCs w:val="18"/>
        </w:rPr>
        <w:t xml:space="preserve">Приложение </w:t>
      </w:r>
      <w:r>
        <w:rPr>
          <w:sz w:val="18"/>
          <w:szCs w:val="18"/>
          <w:lang w:val="ru-RU"/>
        </w:rPr>
        <w:t xml:space="preserve">21</w:t>
      </w:r>
      <w:r>
        <w:rPr>
          <w:sz w:val="18"/>
          <w:szCs w:val="18"/>
          <w:highlight w:val="none"/>
        </w:rPr>
      </w:r>
      <w:r>
        <w:rPr>
          <w:sz w:val="18"/>
          <w:szCs w:val="18"/>
          <w:highlight w:val="none"/>
        </w:rPr>
      </w:r>
    </w:p>
    <w:p>
      <w:pPr>
        <w:contextualSpacing/>
        <w:ind w:left="4535" w:right="0" w:firstLine="0"/>
        <w:jc w:val="both"/>
        <w:spacing w:line="240" w:lineRule="auto"/>
        <w:tabs>
          <w:tab w:val="left" w:pos="4819" w:leader="none"/>
        </w:tabs>
        <w:rPr>
          <w:rFonts w:ascii="Times New Roman" w:hAnsi="Times New Roman" w:cs="Times New Roman"/>
          <w:sz w:val="18"/>
          <w:szCs w:val="18"/>
        </w:rPr>
      </w:pPr>
      <w:r>
        <w:rPr>
          <w:sz w:val="18"/>
          <w:szCs w:val="18"/>
        </w:rPr>
        <w:t xml:space="preserve">к</w:t>
      </w:r>
      <w:r>
        <w:rPr>
          <w:rFonts w:ascii="Times New Roman" w:hAnsi="Times New Roman" w:cs="Times New Roman"/>
          <w:sz w:val="18"/>
          <w:szCs w:val="18"/>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18"/>
          <w:szCs w:val="18"/>
          <w:lang w:eastAsia="ru-RU"/>
        </w:rPr>
        <w:t xml:space="preserve">в </w:t>
        <w:br/>
        <w:t xml:space="preserve">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rFonts w:ascii="Times New Roman" w:hAnsi="Times New Roman" w:cs="Times New Roman"/>
          <w:sz w:val="18"/>
          <w:szCs w:val="18"/>
        </w:rPr>
      </w:r>
      <w:r>
        <w:rPr>
          <w:rFonts w:ascii="Times New Roman" w:hAnsi="Times New Roman" w:cs="Times New Roman"/>
          <w:sz w:val="18"/>
          <w:szCs w:val="18"/>
        </w:rPr>
      </w:r>
    </w:p>
    <w:p>
      <w:pPr>
        <w:pStyle w:val="973"/>
        <w:contextualSpacing/>
        <w:ind w:left="4536"/>
        <w:spacing w:line="240" w:lineRule="atLeast"/>
        <w:rPr>
          <w:b/>
        </w:rPr>
      </w:pPr>
      <w:r>
        <w:rPr>
          <w:b/>
        </w:rPr>
      </w:r>
      <w:r>
        <w:rPr>
          <w:b/>
        </w:rPr>
      </w:r>
      <w:r>
        <w:rPr>
          <w:b/>
        </w:rPr>
      </w:r>
    </w:p>
    <w:p>
      <w:pPr>
        <w:pStyle w:val="973"/>
        <w:jc w:val="center"/>
        <w:widowControl w:val="off"/>
        <w:rPr>
          <w:b/>
          <w:bCs/>
          <w:sz w:val="20"/>
          <w:szCs w:val="20"/>
        </w:rPr>
      </w:pPr>
      <w:r>
        <w:rPr>
          <w:b/>
          <w:bCs/>
          <w:sz w:val="20"/>
          <w:szCs w:val="20"/>
        </w:rPr>
        <w:t xml:space="preserve">ЗАЯВЛЕНИЕ </w:t>
      </w:r>
      <w:r>
        <w:rPr>
          <w:b/>
          <w:bCs/>
          <w:sz w:val="20"/>
          <w:szCs w:val="20"/>
        </w:rPr>
        <w:t xml:space="preserve">КЛИЕНТА, НЕ ЯВЛЯЮЩЕГОСЯ КОНТРОЛИРУЮЩЕЙ ОРГАНИЗАЦИЕЙ, </w:t>
      </w:r>
      <w:r>
        <w:rPr>
          <w:b/>
          <w:bCs/>
          <w:sz w:val="20"/>
          <w:szCs w:val="20"/>
        </w:rPr>
      </w:r>
      <w:r>
        <w:rPr>
          <w:b/>
          <w:bCs/>
          <w:sz w:val="20"/>
          <w:szCs w:val="20"/>
        </w:rPr>
      </w:r>
    </w:p>
    <w:p>
      <w:pPr>
        <w:jc w:val="center"/>
        <w:widowControl w:val="off"/>
        <w:rPr>
          <w:b/>
          <w:bCs/>
          <w:sz w:val="20"/>
          <w:szCs w:val="20"/>
        </w:rPr>
      </w:pPr>
      <w:r>
        <w:rPr>
          <w:b/>
          <w:bCs/>
          <w:sz w:val="20"/>
          <w:szCs w:val="20"/>
        </w:rPr>
      </w:r>
      <w:r>
        <w:rPr>
          <w:b/>
          <w:bCs/>
          <w:sz w:val="20"/>
          <w:szCs w:val="20"/>
        </w:rPr>
        <w:t xml:space="preserve">О</w:t>
      </w:r>
      <w:r>
        <w:rPr>
          <w:b/>
          <w:bCs/>
          <w:sz w:val="20"/>
          <w:szCs w:val="20"/>
        </w:rPr>
        <w:t xml:space="preserve">Б ИЗМЕНЕНИИ 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КЛИЕНТА</w:t>
      </w:r>
      <w:r>
        <w:rPr>
          <w:b/>
          <w:bCs/>
          <w:sz w:val="20"/>
          <w:szCs w:val="20"/>
        </w:rPr>
      </w:r>
      <w:r>
        <w:rPr>
          <w:b/>
          <w:bCs/>
          <w:sz w:val="20"/>
          <w:szCs w:val="20"/>
        </w:rPr>
      </w:r>
    </w:p>
    <w:p>
      <w:pPr>
        <w:pStyle w:val="973"/>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1009"/>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 </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73"/>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73"/>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3"/>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73"/>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73"/>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73"/>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3"/>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73"/>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3"/>
              <w:spacing w:before="20" w:after="20"/>
              <w:rPr>
                <w:b/>
                <w:sz w:val="18"/>
                <w:szCs w:val="18"/>
              </w:rPr>
            </w:pPr>
            <w:r>
              <w:rPr>
                <w:b/>
                <w:sz w:val="18"/>
                <w:szCs w:val="18"/>
              </w:rPr>
              <w:t xml:space="preserve">От имени К</w:t>
            </w:r>
            <w:r>
              <w:rPr>
                <w:b/>
                <w:sz w:val="18"/>
                <w:szCs w:val="18"/>
              </w:rPr>
              <w:t xml:space="preserve">лиент: Ф.И.О</w:t>
            </w:r>
            <w:r>
              <w:rPr>
                <w:b/>
                <w:sz w:val="18"/>
                <w:szCs w:val="18"/>
              </w:rPr>
            </w:r>
            <w:r>
              <w:rPr>
                <w:b/>
                <w:sz w:val="18"/>
                <w:szCs w:val="18"/>
              </w:rPr>
            </w:r>
          </w:p>
        </w:tc>
        <w:tc>
          <w:tcPr>
            <w:gridSpan w:val="3"/>
            <w:shd w:val="clear" w:color="auto" w:fill="ffffff"/>
            <w:tcW w:w="6881" w:type="dxa"/>
            <w:vAlign w:val="top"/>
            <w:textDirection w:val="lrTb"/>
            <w:noWrap w:val="false"/>
          </w:tcPr>
          <w:p>
            <w:pPr>
              <w:pStyle w:val="973"/>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3"/>
              <w:spacing w:before="20" w:after="20"/>
              <w:rPr>
                <w:b/>
                <w:sz w:val="18"/>
                <w:szCs w:val="18"/>
              </w:rPr>
            </w:pPr>
            <w:r>
              <w:rPr>
                <w:b/>
                <w:sz w:val="18"/>
                <w:szCs w:val="18"/>
              </w:rPr>
              <w:t xml:space="preserve">Номер(а) телефона </w:t>
            </w:r>
            <w:r>
              <w:rPr>
                <w:b/>
                <w:sz w:val="18"/>
                <w:szCs w:val="18"/>
              </w:rPr>
              <w:t xml:space="preserve">Клиента</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73"/>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73"/>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494"/>
        <w:gridCol w:w="494"/>
        <w:gridCol w:w="494"/>
        <w:gridCol w:w="260"/>
        <w:gridCol w:w="234"/>
        <w:gridCol w:w="494"/>
        <w:gridCol w:w="494"/>
        <w:gridCol w:w="494"/>
        <w:gridCol w:w="292"/>
        <w:gridCol w:w="203"/>
        <w:gridCol w:w="494"/>
        <w:gridCol w:w="475"/>
        <w:gridCol w:w="19"/>
        <w:gridCol w:w="494"/>
        <w:gridCol w:w="494"/>
        <w:gridCol w:w="494"/>
        <w:gridCol w:w="494"/>
        <w:gridCol w:w="199"/>
        <w:gridCol w:w="296"/>
        <w:gridCol w:w="143"/>
        <w:gridCol w:w="351"/>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d9d9d9"/>
            <w:tcW w:w="9889" w:type="dxa"/>
            <w:vAlign w:val="top"/>
            <w:textDirection w:val="lrTb"/>
            <w:noWrap w:val="false"/>
          </w:tcPr>
          <w:p>
            <w:pPr>
              <w:pStyle w:val="1009"/>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Style w:val="958"/>
                <w:rFonts w:ascii="Times New Roman" w:hAnsi="Times New Roman"/>
                <w:b/>
                <w:i/>
                <w:sz w:val="18"/>
                <w:szCs w:val="18"/>
              </w:rPr>
              <w:footnoteReference w:id="2"/>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ffffff"/>
            <w:tcW w:w="9889" w:type="dxa"/>
            <w:vAlign w:val="top"/>
            <w:textDirection w:val="lrTb"/>
            <w:noWrap w:val="false"/>
          </w:tcPr>
          <w:p>
            <w:pPr>
              <w:pStyle w:val="1009"/>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Times New Roman" w:hAnsi="Times New Roman"/>
                <w:b/>
                <w:sz w:val="18"/>
                <w:szCs w:val="18"/>
              </w:rPr>
              <w:t xml:space="preserve">Прекратить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 осуществление Контроля за платежами.Акцепт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4247" w:type="dxa"/>
            <w:vAlign w:val="top"/>
            <w:textDirection w:val="lrTb"/>
            <w:noWrap w:val="false"/>
          </w:tcPr>
          <w:p>
            <w:pPr>
              <w:pStyle w:val="1009"/>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09"/>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5"/>
            <w:shd w:val="clear" w:color="auto" w:fill="ffffff"/>
            <w:tcW w:w="5642" w:type="dxa"/>
            <w:vAlign w:val="top"/>
            <w:textDirection w:val="lrTb"/>
            <w:noWrap w:val="false"/>
          </w:tcPr>
          <w:p>
            <w:pPr>
              <w:pStyle w:val="973"/>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09"/>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858"/>
        </w:trPr>
        <w:tc>
          <w:tcPr>
            <w:gridSpan w:val="10"/>
            <w:shd w:val="clear" w:color="ffffff" w:fill="ffffff"/>
            <w:tcW w:w="4247" w:type="dxa"/>
            <w:vAlign w:val="top"/>
            <w:vMerge w:val="restart"/>
            <w:textDirection w:val="lrTb"/>
            <w:noWrap w:val="false"/>
          </w:tcPr>
          <w:p>
            <w:pPr>
              <w:pStyle w:val="1009"/>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15"/>
            <w:shd w:val="clear" w:color="ffffff" w:fill="ffffff"/>
            <w:tcW w:w="5642" w:type="dxa"/>
            <w:vAlign w:val="top"/>
            <w:vMerge w:val="restart"/>
            <w:textDirection w:val="lrTb"/>
            <w:noWrap w:val="false"/>
          </w:tcPr>
          <w:p>
            <w:pPr>
              <w:pStyle w:val="973"/>
              <w:ind w:left="180"/>
              <w:jc w:val="center"/>
              <w:rPr>
                <w:b/>
                <w:iCs/>
                <w:sz w:val="18"/>
                <w:szCs w:val="18"/>
              </w:rPr>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3"/>
        </w:trPr>
        <w:tc>
          <w:tcPr>
            <w:gridSpan w:val="25"/>
            <w:shd w:val="clear" w:color="auto" w:fill="ffffff"/>
            <w:tcW w:w="9889" w:type="dxa"/>
            <w:vAlign w:val="top"/>
            <w:vMerge w:val="restart"/>
            <w:textDirection w:val="lrTb"/>
            <w:noWrap w:val="false"/>
          </w:tcPr>
          <w:p>
            <w:pPr>
              <w:rPr>
                <w:sz w:val="18"/>
                <w:szCs w:val="18"/>
                <w:highlight w:val="none"/>
              </w:rPr>
            </w:pPr>
            <w:r>
              <w:rPr>
                <w:sz w:val="18"/>
                <w:szCs w:val="18"/>
              </w:rPr>
              <w:t xml:space="preserve">по следующему(им) банковскому(им) счету(ам)</w:t>
            </w:r>
            <w:r>
              <w:rPr>
                <w:rStyle w:val="958"/>
                <w:sz w:val="18"/>
                <w:szCs w:val="18"/>
              </w:rPr>
              <w:footnoteReference w:id="3"/>
            </w:r>
            <w:r>
              <w:rPr>
                <w:sz w:val="18"/>
                <w:szCs w:val="18"/>
              </w:rPr>
              <w:t xml:space="preserve">:</w:t>
            </w:r>
            <w:r>
              <w:rPr>
                <w:sz w:val="18"/>
                <w:szCs w:val="18"/>
                <w:highlight w:val="none"/>
              </w:rPr>
            </w:r>
            <w:r>
              <w:rPr>
                <w:sz w:val="18"/>
                <w:szCs w:val="18"/>
                <w:highlight w:val="none"/>
              </w:rPr>
            </w:r>
          </w:p>
        </w:tc>
      </w:tr>
      <w:tr>
        <w:tblPrEx/>
        <w:trPr>
          <w:trHeight w:val="387"/>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rPr>
          <w:trHeight w:val="415"/>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5"/>
            <w:shd w:val="clear" w:color="auto" w:fill="ffffff"/>
            <w:tcW w:w="9889" w:type="dxa"/>
            <w:vAlign w:val="top"/>
            <w:textDirection w:val="lrTb"/>
            <w:noWrap w:val="false"/>
          </w:tcPr>
          <w:p>
            <w:pPr>
              <w:pStyle w:val="973"/>
              <w:jc w:val="both"/>
              <w:rPr>
                <w:iCs/>
                <w:sz w:val="18"/>
                <w:szCs w:val="18"/>
              </w:rPr>
              <w:framePr w:hSpace="180" w:wrap="around" w:vAnchor="text" w:hAnchor="text" w:xAlign="center" w:y="1"/>
            </w:pPr>
            <w:r>
              <w:rPr>
                <w:rFonts w:ascii="Segoe UI Symbol" w:hAnsi="Segoe UI Symbol" w:cs="Segoe UI Symbol"/>
                <w:iCs/>
                <w:sz w:val="18"/>
                <w:szCs w:val="18"/>
              </w:rPr>
              <w:t xml:space="preserve">☐</w:t>
            </w:r>
            <w:r>
              <w:rPr>
                <w:iCs/>
                <w:sz w:val="18"/>
                <w:szCs w:val="18"/>
              </w:rPr>
              <w:t xml:space="preserve"> </w:t>
            </w:r>
            <w:r>
              <w:rPr>
                <w:b/>
              </w:rPr>
              <w:t xml:space="preserve"> </w:t>
            </w:r>
            <w:r>
              <w:rPr>
                <w:b/>
                <w:sz w:val="18"/>
                <w:szCs w:val="18"/>
              </w:rPr>
              <w:t xml:space="preserve">Предоставить </w:t>
            </w:r>
            <w:r>
              <w:rPr>
                <w:b/>
                <w:sz w:val="18"/>
                <w:szCs w:val="18"/>
              </w:rPr>
              <w:t xml:space="preserve"> с «___»</w:t>
            </w:r>
            <w:r>
              <w:rPr>
                <w:b/>
                <w:sz w:val="18"/>
                <w:szCs w:val="18"/>
              </w:rPr>
              <w:t xml:space="preserve"> </w:t>
            </w:r>
            <w:r>
              <w:rPr>
                <w:b/>
                <w:sz w:val="18"/>
                <w:szCs w:val="18"/>
              </w:rPr>
              <w:t xml:space="preserve">__________ 20___г</w:t>
            </w:r>
            <w:r>
              <w:rPr>
                <w:b/>
                <w:sz w:val="18"/>
                <w:szCs w:val="18"/>
              </w:rPr>
              <w:t xml:space="preserve">. Контроль за платежами.Акцепт </w:t>
            </w:r>
            <w:r>
              <w:rPr>
                <w:iCs/>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09"/>
        </w:trPr>
        <w:tc>
          <w:tcPr>
            <w:gridSpan w:val="25"/>
            <w:shd w:val="clear" w:color="auto" w:fill="ffffff"/>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
                  <w:shd w:val="clear" w:color="auto" w:fill="ffffff"/>
                  <w:tcW w:w="4077" w:type="dxa"/>
                  <w:vAlign w:val="top"/>
                  <w:textDirection w:val="lrTb"/>
                  <w:noWrap w:val="false"/>
                </w:tcPr>
                <w:p>
                  <w:pPr>
                    <w:pStyle w:val="1009"/>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bCs/>
                      <w:iCs/>
                      <w:sz w:val="18"/>
                      <w:szCs w:val="18"/>
                    </w:rPr>
                  </w:r>
                  <w:r>
                    <w:rPr>
                      <w:rFonts w:ascii="Times New Roman" w:hAnsi="Times New Roman"/>
                      <w:b/>
                      <w:bCs/>
                      <w:iCs/>
                      <w:sz w:val="18"/>
                      <w:szCs w:val="18"/>
                    </w:rPr>
                  </w:r>
                </w:p>
                <w:p>
                  <w:pPr>
                    <w:pStyle w:val="1009"/>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с право</w:t>
                  </w:r>
                  <w:r>
                    <w:rPr>
                      <w:rFonts w:ascii="Times New Roman" w:hAnsi="Times New Roman"/>
                      <w:b/>
                      <w:bCs/>
                      <w:iCs/>
                      <w:sz w:val="18"/>
                      <w:szCs w:val="18"/>
                    </w:rPr>
                    <w:t xml:space="preserve">м </w:t>
                  </w:r>
                  <w:r>
                    <w:rPr>
                      <w:rFonts w:ascii="Times New Roman" w:hAnsi="Times New Roman"/>
                      <w:b/>
                      <w:bCs/>
                      <w:iCs/>
                      <w:sz w:val="18"/>
                      <w:szCs w:val="18"/>
                    </w:rPr>
                    <w:t xml:space="preserve">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73"/>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1009"/>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9"/>
              </w:trPr>
              <w:tc>
                <w:tcPr>
                  <w:gridSpan w:val="2"/>
                  <w:shd w:val="clear" w:color="auto" w:fill="ffffff"/>
                  <w:tcW w:w="4077" w:type="dxa"/>
                  <w:vAlign w:val="top"/>
                  <w:vMerge w:val="restart"/>
                  <w:textDirection w:val="lrTb"/>
                  <w:noWrap w:val="false"/>
                </w:tcPr>
                <w:p>
                  <w:pPr>
                    <w:pStyle w:val="973"/>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r/>
                  <w:r/>
                </w:p>
              </w:tc>
            </w:tr>
          </w:tbl>
          <w:p>
            <w:r>
              <w:rPr>
                <w:sz w:val="18"/>
                <w:szCs w:val="18"/>
              </w:rPr>
              <w:t xml:space="preserve">по следующему(им) банковскому(им) счету(ам)</w:t>
            </w:r>
            <w:r>
              <w:rPr>
                <w:rStyle w:val="958"/>
                <w:sz w:val="18"/>
                <w:szCs w:val="18"/>
              </w:rPr>
              <w:footnoteReference w:id="4"/>
            </w:r>
            <w:r>
              <w:rPr>
                <w:sz w:val="18"/>
                <w:szCs w:val="18"/>
              </w:rPr>
              <w:t xml:space="preserve"> </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6"/>
        </w:trPr>
        <w:tc>
          <w:tcPr>
            <w:shd w:val="clear" w:color="auto"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76"/>
        </w:trPr>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r>
      <w:tr>
        <w:tblPrEx/>
        <w:trPr>
          <w:trHeight w:val="96"/>
        </w:trPr>
        <w:tc>
          <w:tcPr>
            <w:gridSpan w:val="25"/>
            <w:shd w:val="clear" w:color="ffffff" w:fill="d9d9d9"/>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09"/>
              <w:ind w:left="29"/>
              <w:jc w:val="both"/>
              <w:spacing w:after="0"/>
              <w:rPr>
                <w:rFonts w:ascii="Times New Roman" w:hAnsi="Times New Roman" w:eastAsia="Times New Roman" w:cs="Times New Roman"/>
                <w:sz w:val="22"/>
                <w:szCs w:val="22"/>
                <w:highlight w:val="none"/>
                <w14:ligatures w14:val="none"/>
              </w:rPr>
              <w:framePr w:hSpace="180" w:wrap="around" w:vAnchor="text" w:hAnchor="text" w:xAlign="center" w:y="1"/>
            </w:pPr>
            <w:r>
              <w:rPr>
                <w:rFonts w:ascii="Times New Roman" w:hAnsi="Times New Roman" w:eastAsia="Times New Roman" w:cs="Times New Roman"/>
                <w:b/>
                <w:sz w:val="18"/>
                <w:szCs w:val="18"/>
              </w:rPr>
            </w: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w:t>
            </w:r>
            <w:r>
              <w:rPr>
                <w:rFonts w:ascii="Times New Roman" w:hAnsi="Times New Roman" w:eastAsia="Times New Roman" w:cs="Times New Roman"/>
                <w:sz w:val="24"/>
                <w:szCs w:val="24"/>
              </w:rPr>
              <w:t xml:space="preserve"> из событий наступит ранее). Настоящее поручение </w:t>
            </w:r>
            <w:r>
              <w:rPr>
                <w:rFonts w:ascii="Times New Roman" w:hAnsi="Times New Roman" w:eastAsia="Times New Roman" w:cs="Times New Roman"/>
                <w:sz w:val="24"/>
                <w:szCs w:val="24"/>
              </w:rPr>
              <w:t xml:space="preserve">приостанавливает свое действие на период приостановления Контроля за платежами.Акцепт </w:t>
            </w:r>
            <w:r>
              <w:rPr>
                <w:rFonts w:ascii="Times New Roman" w:hAnsi="Times New Roman" w:eastAsia="Times New Roman" w:cs="Times New Roman"/>
                <w:sz w:val="24"/>
                <w:szCs w:val="24"/>
              </w:rPr>
              <w:t xml:space="preserve">в случа</w:t>
            </w:r>
            <w:r>
              <w:rPr>
                <w:rFonts w:ascii="Times New Roman" w:hAnsi="Times New Roman" w:eastAsia="Times New Roman" w:cs="Times New Roman"/>
                <w:sz w:val="24"/>
                <w:szCs w:val="24"/>
              </w:rPr>
              <w:t xml:space="preserve">ях, </w:t>
            </w:r>
            <w:r>
              <w:rPr>
                <w:rFonts w:ascii="Times New Roman" w:hAnsi="Times New Roman" w:eastAsia="Times New Roman" w:cs="Times New Roman"/>
                <w:sz w:val="24"/>
                <w:szCs w:val="24"/>
              </w:rPr>
              <w:t xml:space="preserve">установленных Условиями дистанционного банковского обслуживания</w:t>
            </w:r>
            <w:r>
              <w:rPr>
                <w:rStyle w:val="958"/>
                <w:rFonts w:ascii="Times New Roman" w:hAnsi="Times New Roman" w:eastAsia="Times New Roman" w:cs="Times New Roman"/>
                <w:sz w:val="24"/>
                <w:szCs w:val="24"/>
              </w:rPr>
              <w:footnoteReference w:id="5"/>
            </w:r>
            <w:r>
              <w:rPr>
                <w:rFonts w:ascii="Times New Roman" w:hAnsi="Times New Roman" w:eastAsia="Times New Roman" w:cs="Times New Roman"/>
                <w:sz w:val="24"/>
                <w:szCs w:val="24"/>
              </w:rPr>
              <w:t xml:space="preserve"> и </w:t>
            </w:r>
            <w:r>
              <w:rPr>
                <w:rFonts w:ascii="Times New Roman" w:hAnsi="Times New Roman" w:eastAsia="Times New Roman" w:cs="Times New Roman"/>
                <w:b w:val="0"/>
                <w:bCs w:val="0"/>
                <w:sz w:val="24"/>
                <w:szCs w:val="24"/>
              </w:rPr>
              <w:t xml:space="preserve">Тарифами Банка</w:t>
            </w:r>
            <w:r>
              <w:rPr>
                <w:rStyle w:val="958"/>
                <w:rFonts w:ascii="Times New Roman" w:hAnsi="Times New Roman" w:eastAsia="Times New Roman" w:cs="Times New Roman"/>
                <w:b w:val="0"/>
                <w:bCs w:val="0"/>
                <w:sz w:val="24"/>
                <w:szCs w:val="24"/>
              </w:rPr>
              <w:footnoteReference w:id="6"/>
            </w:r>
            <w:r>
              <w:rPr>
                <w:rStyle w:val="958"/>
                <w:rFonts w:ascii="Times New Roman" w:hAnsi="Times New Roman" w:eastAsia="Times New Roman" w:cs="Times New Roman"/>
                <w:b w:val="0"/>
                <w:bCs w:val="0"/>
                <w:sz w:val="24"/>
                <w:szCs w:val="24"/>
                <w:vertAlign w:val="baseline"/>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по причине неупл</w:t>
            </w:r>
            <w:r>
              <w:rPr>
                <w:rFonts w:ascii="Times New Roman" w:hAnsi="Times New Roman" w:eastAsia="Times New Roman" w:cs="Times New Roman"/>
                <w:sz w:val="22"/>
                <w:szCs w:val="22"/>
              </w:rPr>
              <w:t xml:space="preserve">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w:t>
            </w:r>
            <w:r>
              <w:rPr>
                <w:rFonts w:ascii="Times New Roman" w:hAnsi="Times New Roman" w:eastAsia="Times New Roman" w:cs="Times New Roman"/>
                <w:sz w:val="22"/>
                <w:szCs w:val="22"/>
              </w:rPr>
              <w:t xml:space="preserve">Контроль за платежами.Акцепт</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highlight w:val="none"/>
                <w14:ligatures w14:val="none"/>
              </w:rPr>
            </w:r>
            <w:r>
              <w:rPr>
                <w:rFonts w:ascii="Times New Roman" w:hAnsi="Times New Roman" w:eastAsia="Times New Roman" w:cs="Times New Roman"/>
                <w:sz w:val="22"/>
                <w:szCs w:val="22"/>
                <w:highlight w:val="none"/>
                <w14:ligatures w14:val="none"/>
              </w:rPr>
            </w:r>
          </w:p>
          <w:p>
            <w:pPr>
              <w:pStyle w:val="1009"/>
              <w:ind w:left="29"/>
              <w:jc w:val="both"/>
              <w:spacing w:after="0"/>
              <w:rPr>
                <w:rFonts w:ascii="Times New Roman" w:hAnsi="Times New Roman" w:eastAsia="Times New Roman" w:cs="Times New Roman"/>
                <w:b/>
                <w:bCs/>
                <w:sz w:val="18"/>
                <w:szCs w:val="18"/>
                <w14:ligatures w14:val="none"/>
              </w:rPr>
              <w:framePr w:hSpace="180" w:wrap="around" w:vAnchor="text" w:hAnchor="text" w:xAlign="center" w:y="1"/>
            </w:pPr>
            <w:r>
              <w:rPr>
                <w:rFonts w:ascii="Times New Roman" w:hAnsi="Times New Roman" w:eastAsia="Times New Roman" w:cs="Times New Roman"/>
                <w:sz w:val="22"/>
                <w:szCs w:val="22"/>
                <w:highlight w:val="none"/>
              </w:rPr>
              <w:t xml:space="preserve">Ранее данное поручение </w:t>
            </w:r>
            <w:r>
              <w:rPr>
                <w:rFonts w:ascii="Times New Roman" w:hAnsi="Times New Roman" w:eastAsia="Times New Roman" w:cs="Times New Roman"/>
                <w:sz w:val="22"/>
                <w:szCs w:val="22"/>
                <w:highlight w:val="none"/>
              </w:rPr>
              <w:t xml:space="preserve">просим считать измененным на вышеизложенных условиях.</w:t>
            </w:r>
            <w:r>
              <w:rPr>
                <w:rFonts w:ascii="Times New Roman" w:hAnsi="Times New Roman" w:eastAsia="Times New Roman" w:cs="Times New Roman"/>
                <w:b/>
                <w:bCs/>
                <w:sz w:val="18"/>
                <w:szCs w:val="18"/>
                <w14:ligatures w14:val="none"/>
              </w:rPr>
            </w:r>
            <w:r>
              <w:rPr>
                <w:rFonts w:ascii="Times New Roman" w:hAnsi="Times New Roman" w:eastAsia="Times New Roman" w:cs="Times New Roman"/>
                <w:b/>
                <w:bCs/>
                <w:sz w:val="18"/>
                <w:szCs w:val="18"/>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3"/>
            <w:shd w:val="clear" w:color="auto" w:fill="d9d9d9"/>
            <w:tcBorders>
              <w:top w:val="single" w:color="000000" w:sz="4" w:space="0"/>
            </w:tcBorders>
            <w:tcW w:w="5420" w:type="dxa"/>
            <w:vAlign w:val="top"/>
            <w:textDirection w:val="lrTb"/>
            <w:noWrap w:val="false"/>
          </w:tcPr>
          <w:p>
            <w:pPr>
              <w:pStyle w:val="1009"/>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469" w:type="dxa"/>
            <w:vAlign w:val="top"/>
            <w:textDirection w:val="lrTb"/>
            <w:noWrap w:val="false"/>
          </w:tcPr>
          <w:p>
            <w:pPr>
              <w:pStyle w:val="1009"/>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5"/>
            <w:shd w:val="clear" w:color="auto" w:fill="ffffff"/>
            <w:tcW w:w="2238"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469"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2"/>
        </w:trPr>
        <w:tc>
          <w:tcPr>
            <w:gridSpan w:val="13"/>
            <w:shd w:val="clear" w:color="auto" w:fill="ffffff"/>
            <w:tcW w:w="5420"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9"/>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pPr>
        <w:pStyle w:val="973"/>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7"/>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56"/>
        <w:jc w:val="both"/>
        <w:spacing w:after="0" w:afterAutospacing="0"/>
        <w:rPr>
          <w:sz w:val="18"/>
          <w:szCs w:val="18"/>
        </w:rPr>
      </w:pPr>
      <w:r>
        <w:rPr>
          <w:rStyle w:val="958"/>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изменение </w:t>
      </w:r>
      <w:r>
        <w:rPr>
          <w:sz w:val="18"/>
          <w:szCs w:val="18"/>
        </w:rPr>
        <w:t xml:space="preserve">параметров Контроля за платежами.Акцепт по нескольким уполномоченным лицам,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56"/>
        <w:jc w:val="both"/>
        <w:spacing w:after="0" w:afterAutospacing="0"/>
        <w:rPr>
          <w:b w:val="0"/>
          <w:bCs w:val="0"/>
          <w:sz w:val="18"/>
          <w:szCs w:val="18"/>
        </w:rPr>
      </w:pPr>
      <w:r>
        <w:rPr>
          <w:rStyle w:val="958"/>
          <w:sz w:val="18"/>
          <w:szCs w:val="18"/>
        </w:rPr>
        <w:footnoteRef/>
      </w:r>
      <w:r>
        <w:rPr>
          <w:b w:val="0"/>
          <w:bCs w:val="0"/>
          <w:sz w:val="18"/>
          <w:szCs w:val="18"/>
        </w:rPr>
        <w:t xml:space="preserve"> </w:t>
      </w:r>
      <w:r>
        <w:rPr>
          <w:b w:val="0"/>
          <w:bCs w:val="0"/>
          <w:sz w:val="18"/>
          <w:szCs w:val="18"/>
        </w:rPr>
        <w:t xml:space="preserve">Если Клиенту требуется прекращение </w:t>
      </w:r>
      <w:r>
        <w:rPr>
          <w:rFonts w:ascii="Times New Roman" w:hAnsi="Times New Roman"/>
          <w:b w:val="0"/>
          <w:bCs w:val="0"/>
          <w:sz w:val="18"/>
          <w:szCs w:val="18"/>
        </w:rPr>
        <w:t xml:space="preserve">Контроля за платежами.Акцепт уполномоченному лицу с правом акцепта,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Клиентом номера транзитного валютного счета, данный счет не будет отключен уполномоченному лицу с правом акцепта.</w:t>
      </w:r>
      <w:r>
        <w:rPr>
          <w:b w:val="0"/>
          <w:bCs w:val="0"/>
          <w:sz w:val="18"/>
          <w:szCs w:val="18"/>
        </w:rPr>
      </w:r>
      <w:r>
        <w:rPr>
          <w:b w:val="0"/>
          <w:bCs w:val="0"/>
          <w:sz w:val="18"/>
          <w:szCs w:val="18"/>
        </w:rPr>
      </w:r>
    </w:p>
  </w:footnote>
  <w:footnote w:id="4">
    <w:p>
      <w:pPr>
        <w:pStyle w:val="956"/>
        <w:jc w:val="both"/>
        <w:spacing w:after="0" w:afterAutospacing="0"/>
        <w:rPr>
          <w:sz w:val="18"/>
          <w:szCs w:val="18"/>
        </w:rPr>
      </w:pPr>
      <w:r>
        <w:rPr>
          <w:rStyle w:val="958"/>
          <w:sz w:val="18"/>
          <w:szCs w:val="18"/>
        </w:rPr>
        <w:footnoteRef/>
      </w:r>
      <w:r>
        <w:rPr>
          <w:sz w:val="18"/>
          <w:szCs w:val="18"/>
        </w:rPr>
        <w:t xml:space="preserve"> </w:t>
      </w:r>
      <w:r>
        <w:rPr>
          <w:sz w:val="18"/>
          <w:szCs w:val="18"/>
        </w:rPr>
        <w:t xml:space="preserve">В случае если Контроль за платежами.Акцепт</w:t>
      </w:r>
      <w:r>
        <w:rPr>
          <w:sz w:val="18"/>
          <w:szCs w:val="18"/>
        </w:rPr>
        <w:t xml:space="preserve"> предоставляется уполномоченному лицу с правом акцепта по счету в иностранной валюте и планируется предоставление данному лицу, в том числе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 </w:t>
      </w:r>
      <w:r>
        <w:rPr>
          <w:sz w:val="18"/>
          <w:szCs w:val="18"/>
        </w:rPr>
      </w:r>
      <w:r>
        <w:rPr>
          <w:sz w:val="18"/>
          <w:szCs w:val="18"/>
        </w:rPr>
      </w:r>
    </w:p>
  </w:footnote>
  <w:footnote w:id="5">
    <w:p>
      <w:pPr>
        <w:contextualSpacing/>
        <w:ind w:left="0" w:right="0" w:firstLine="0"/>
        <w:jc w:val="both"/>
        <w:spacing w:after="0" w:afterAutospacing="0" w:line="240" w:lineRule="auto"/>
        <w:tabs>
          <w:tab w:val="left" w:pos="4819" w:leader="none"/>
        </w:tabs>
        <w:rPr>
          <w:rFonts w:ascii="Times New Roman" w:hAnsi="Times New Roman" w:cs="Times New Roman"/>
          <w:sz w:val="18"/>
          <w:szCs w:val="18"/>
        </w:rPr>
      </w:pPr>
      <w:r>
        <w:rPr>
          <w:rStyle w:val="958"/>
          <w:sz w:val="18"/>
          <w:szCs w:val="18"/>
        </w:rPr>
        <w:footnoteRef/>
      </w:r>
      <w:r>
        <w:rPr>
          <w:sz w:val="18"/>
          <w:szCs w:val="18"/>
        </w:rPr>
        <w:t xml:space="preserve"> </w:t>
      </w:r>
      <w:r>
        <w:rPr>
          <w:rFonts w:ascii="Times New Roman" w:hAnsi="Times New Roman" w:cs="Times New Roman"/>
          <w:sz w:val="18"/>
          <w:szCs w:val="18"/>
          <w:lang w:val="ru-RU" w:eastAsia="en-US"/>
        </w:rPr>
        <w:t xml:space="preserve">Условия дистанционного </w:t>
      </w:r>
      <w:r>
        <w:rPr>
          <w:rFonts w:ascii="Times New Roman" w:hAnsi="Times New Roman" w:cs="Times New Roman"/>
          <w:sz w:val="18"/>
          <w:szCs w:val="18"/>
          <w:lang w:val="ru-RU" w:eastAsia="en-US"/>
        </w:rPr>
        <w:t xml:space="preserve">банковского </w:t>
      </w:r>
      <w:r>
        <w:rPr>
          <w:rFonts w:ascii="Times New Roman" w:hAnsi="Times New Roman" w:cs="Times New Roman"/>
          <w:sz w:val="18"/>
          <w:szCs w:val="18"/>
          <w:lang w:val="ru-RU" w:eastAsia="en-US"/>
        </w:rPr>
        <w:t xml:space="preserve">обслуживания юридических лиц и индивидуальных предпринимателей </w:t>
        <w:br/>
      </w:r>
      <w:r>
        <w:rPr>
          <w:rFonts w:ascii="Times New Roman" w:hAnsi="Times New Roman" w:cs="Times New Roman"/>
          <w:sz w:val="18"/>
          <w:szCs w:val="18"/>
          <w:lang w:eastAsia="ru-RU"/>
        </w:rPr>
        <w:t xml:space="preserve">в 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footnote>
  <w:footnote w:id="6">
    <w:p>
      <w:pPr>
        <w:pStyle w:val="956"/>
        <w:jc w:val="both"/>
        <w:spacing w:after="0" w:afterAutospacing="0" w:line="240" w:lineRule="auto"/>
        <w:rPr>
          <w:b w:val="0"/>
          <w:bCs w:val="0"/>
          <w:sz w:val="18"/>
          <w:szCs w:val="18"/>
        </w:rPr>
      </w:pPr>
      <w:r>
        <w:rPr>
          <w:rStyle w:val="958"/>
          <w:sz w:val="18"/>
          <w:szCs w:val="18"/>
        </w:rPr>
        <w:footnoteRef/>
      </w:r>
      <w:r>
        <w:rPr>
          <w:sz w:val="18"/>
          <w:szCs w:val="18"/>
        </w:rPr>
        <w:t xml:space="preserve"> </w:t>
      </w:r>
      <w:r>
        <w:rPr>
          <w:rFonts w:ascii="Times New Roman" w:hAnsi="Times New Roman"/>
          <w:b w:val="0"/>
          <w:bCs w:val="0"/>
          <w:sz w:val="18"/>
          <w:szCs w:val="18"/>
        </w:rPr>
        <w:t xml:space="preserve">Размещены в региональной части официального сайта Банка в сети интернет по адресу https://www.rshb.ru</w:t>
      </w:r>
      <w:r>
        <w:rPr>
          <w:b w:val="0"/>
          <w:bCs w:val="0"/>
          <w:sz w:val="18"/>
          <w:szCs w:val="18"/>
        </w:rPr>
        <w:t xml:space="preserve">.</w:t>
      </w:r>
      <w:r>
        <w:rPr>
          <w:b w:val="0"/>
          <w:bCs w:val="0"/>
          <w:sz w:val="18"/>
          <w:szCs w:val="18"/>
        </w:rPr>
      </w:r>
      <w:r>
        <w:rPr>
          <w:b w:val="0"/>
          <w:bCs w:val="0"/>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5"/>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95">
    <w:name w:val="Heading 1"/>
    <w:basedOn w:val="973"/>
    <w:next w:val="973"/>
    <w:link w:val="796"/>
    <w:uiPriority w:val="9"/>
    <w:qFormat/>
    <w:pPr>
      <w:keepLines/>
      <w:keepNext/>
      <w:spacing w:before="480" w:after="200"/>
      <w:outlineLvl w:val="0"/>
    </w:pPr>
    <w:rPr>
      <w:rFonts w:ascii="Arial" w:hAnsi="Arial" w:eastAsia="Arial" w:cs="Arial"/>
      <w:sz w:val="40"/>
      <w:szCs w:val="40"/>
    </w:rPr>
  </w:style>
  <w:style w:type="character" w:styleId="796">
    <w:name w:val="Heading 1 Char"/>
    <w:link w:val="795"/>
    <w:uiPriority w:val="9"/>
    <w:rPr>
      <w:rFonts w:ascii="Arial" w:hAnsi="Arial" w:eastAsia="Arial" w:cs="Arial"/>
      <w:sz w:val="40"/>
      <w:szCs w:val="40"/>
    </w:rPr>
  </w:style>
  <w:style w:type="paragraph" w:styleId="797">
    <w:name w:val="Heading 2"/>
    <w:basedOn w:val="973"/>
    <w:next w:val="973"/>
    <w:link w:val="798"/>
    <w:uiPriority w:val="9"/>
    <w:unhideWhenUsed/>
    <w:qFormat/>
    <w:pPr>
      <w:keepLines/>
      <w:keepNext/>
      <w:spacing w:before="360" w:after="200"/>
      <w:outlineLvl w:val="1"/>
    </w:pPr>
    <w:rPr>
      <w:rFonts w:ascii="Arial" w:hAnsi="Arial" w:eastAsia="Arial" w:cs="Arial"/>
      <w:sz w:val="34"/>
    </w:rPr>
  </w:style>
  <w:style w:type="character" w:styleId="798">
    <w:name w:val="Heading 2 Char"/>
    <w:link w:val="797"/>
    <w:uiPriority w:val="9"/>
    <w:rPr>
      <w:rFonts w:ascii="Arial" w:hAnsi="Arial" w:eastAsia="Arial" w:cs="Arial"/>
      <w:sz w:val="34"/>
    </w:rPr>
  </w:style>
  <w:style w:type="paragraph" w:styleId="799">
    <w:name w:val="Heading 3"/>
    <w:basedOn w:val="973"/>
    <w:next w:val="973"/>
    <w:link w:val="800"/>
    <w:uiPriority w:val="9"/>
    <w:unhideWhenUsed/>
    <w:qFormat/>
    <w:pPr>
      <w:keepLines/>
      <w:keepNext/>
      <w:spacing w:before="320" w:after="200"/>
      <w:outlineLvl w:val="2"/>
    </w:pPr>
    <w:rPr>
      <w:rFonts w:ascii="Arial" w:hAnsi="Arial" w:eastAsia="Arial" w:cs="Arial"/>
      <w:sz w:val="30"/>
      <w:szCs w:val="30"/>
    </w:rPr>
  </w:style>
  <w:style w:type="character" w:styleId="800">
    <w:name w:val="Heading 3 Char"/>
    <w:link w:val="799"/>
    <w:uiPriority w:val="9"/>
    <w:rPr>
      <w:rFonts w:ascii="Arial" w:hAnsi="Arial" w:eastAsia="Arial" w:cs="Arial"/>
      <w:sz w:val="30"/>
      <w:szCs w:val="30"/>
    </w:rPr>
  </w:style>
  <w:style w:type="paragraph" w:styleId="801">
    <w:name w:val="Heading 4"/>
    <w:basedOn w:val="973"/>
    <w:next w:val="973"/>
    <w:link w:val="802"/>
    <w:uiPriority w:val="9"/>
    <w:unhideWhenUsed/>
    <w:qFormat/>
    <w:pPr>
      <w:keepLines/>
      <w:keepNext/>
      <w:spacing w:before="320" w:after="200"/>
      <w:outlineLvl w:val="3"/>
    </w:pPr>
    <w:rPr>
      <w:rFonts w:ascii="Arial" w:hAnsi="Arial" w:eastAsia="Arial" w:cs="Arial"/>
      <w:b/>
      <w:bCs/>
      <w:sz w:val="26"/>
      <w:szCs w:val="26"/>
    </w:rPr>
  </w:style>
  <w:style w:type="character" w:styleId="802">
    <w:name w:val="Heading 4 Char"/>
    <w:link w:val="801"/>
    <w:uiPriority w:val="9"/>
    <w:rPr>
      <w:rFonts w:ascii="Arial" w:hAnsi="Arial" w:eastAsia="Arial" w:cs="Arial"/>
      <w:b/>
      <w:bCs/>
      <w:sz w:val="26"/>
      <w:szCs w:val="26"/>
    </w:rPr>
  </w:style>
  <w:style w:type="paragraph" w:styleId="803">
    <w:name w:val="Heading 5"/>
    <w:basedOn w:val="973"/>
    <w:next w:val="973"/>
    <w:link w:val="804"/>
    <w:uiPriority w:val="9"/>
    <w:unhideWhenUsed/>
    <w:qFormat/>
    <w:pPr>
      <w:keepLines/>
      <w:keepNext/>
      <w:spacing w:before="320" w:after="200"/>
      <w:outlineLvl w:val="4"/>
    </w:pPr>
    <w:rPr>
      <w:rFonts w:ascii="Arial" w:hAnsi="Arial" w:eastAsia="Arial" w:cs="Arial"/>
      <w:b/>
      <w:bCs/>
      <w:sz w:val="24"/>
      <w:szCs w:val="24"/>
    </w:rPr>
  </w:style>
  <w:style w:type="character" w:styleId="804">
    <w:name w:val="Heading 5 Char"/>
    <w:link w:val="803"/>
    <w:uiPriority w:val="9"/>
    <w:rPr>
      <w:rFonts w:ascii="Arial" w:hAnsi="Arial" w:eastAsia="Arial" w:cs="Arial"/>
      <w:b/>
      <w:bCs/>
      <w:sz w:val="24"/>
      <w:szCs w:val="24"/>
    </w:rPr>
  </w:style>
  <w:style w:type="paragraph" w:styleId="805">
    <w:name w:val="Heading 6"/>
    <w:basedOn w:val="973"/>
    <w:next w:val="973"/>
    <w:link w:val="806"/>
    <w:uiPriority w:val="9"/>
    <w:unhideWhenUsed/>
    <w:qFormat/>
    <w:pPr>
      <w:keepLines/>
      <w:keepNext/>
      <w:spacing w:before="320" w:after="200"/>
      <w:outlineLvl w:val="5"/>
    </w:pPr>
    <w:rPr>
      <w:rFonts w:ascii="Arial" w:hAnsi="Arial" w:eastAsia="Arial" w:cs="Arial"/>
      <w:b/>
      <w:bCs/>
      <w:sz w:val="22"/>
      <w:szCs w:val="22"/>
    </w:rPr>
  </w:style>
  <w:style w:type="character" w:styleId="806">
    <w:name w:val="Heading 6 Char"/>
    <w:link w:val="805"/>
    <w:uiPriority w:val="9"/>
    <w:rPr>
      <w:rFonts w:ascii="Arial" w:hAnsi="Arial" w:eastAsia="Arial" w:cs="Arial"/>
      <w:b/>
      <w:bCs/>
      <w:sz w:val="22"/>
      <w:szCs w:val="22"/>
    </w:rPr>
  </w:style>
  <w:style w:type="paragraph" w:styleId="807">
    <w:name w:val="Heading 7"/>
    <w:basedOn w:val="973"/>
    <w:next w:val="973"/>
    <w:link w:val="808"/>
    <w:uiPriority w:val="9"/>
    <w:unhideWhenUsed/>
    <w:qFormat/>
    <w:pPr>
      <w:keepLines/>
      <w:keepNext/>
      <w:spacing w:before="320" w:after="200"/>
      <w:outlineLvl w:val="6"/>
    </w:pPr>
    <w:rPr>
      <w:rFonts w:ascii="Arial" w:hAnsi="Arial" w:eastAsia="Arial" w:cs="Arial"/>
      <w:b/>
      <w:bCs/>
      <w:i/>
      <w:iCs/>
      <w:sz w:val="22"/>
      <w:szCs w:val="22"/>
    </w:rPr>
  </w:style>
  <w:style w:type="character" w:styleId="808">
    <w:name w:val="Heading 7 Char"/>
    <w:link w:val="807"/>
    <w:uiPriority w:val="9"/>
    <w:rPr>
      <w:rFonts w:ascii="Arial" w:hAnsi="Arial" w:eastAsia="Arial" w:cs="Arial"/>
      <w:b/>
      <w:bCs/>
      <w:i/>
      <w:iCs/>
      <w:sz w:val="22"/>
      <w:szCs w:val="22"/>
    </w:rPr>
  </w:style>
  <w:style w:type="paragraph" w:styleId="809">
    <w:name w:val="Heading 8"/>
    <w:basedOn w:val="973"/>
    <w:next w:val="973"/>
    <w:link w:val="810"/>
    <w:uiPriority w:val="9"/>
    <w:unhideWhenUsed/>
    <w:qFormat/>
    <w:pPr>
      <w:keepLines/>
      <w:keepNext/>
      <w:spacing w:before="320" w:after="200"/>
      <w:outlineLvl w:val="7"/>
    </w:pPr>
    <w:rPr>
      <w:rFonts w:ascii="Arial" w:hAnsi="Arial" w:eastAsia="Arial" w:cs="Arial"/>
      <w:i/>
      <w:iCs/>
      <w:sz w:val="22"/>
      <w:szCs w:val="22"/>
    </w:rPr>
  </w:style>
  <w:style w:type="character" w:styleId="810">
    <w:name w:val="Heading 8 Char"/>
    <w:link w:val="809"/>
    <w:uiPriority w:val="9"/>
    <w:rPr>
      <w:rFonts w:ascii="Arial" w:hAnsi="Arial" w:eastAsia="Arial" w:cs="Arial"/>
      <w:i/>
      <w:iCs/>
      <w:sz w:val="22"/>
      <w:szCs w:val="22"/>
    </w:rPr>
  </w:style>
  <w:style w:type="paragraph" w:styleId="811">
    <w:name w:val="Heading 9"/>
    <w:basedOn w:val="973"/>
    <w:next w:val="973"/>
    <w:link w:val="812"/>
    <w:uiPriority w:val="9"/>
    <w:unhideWhenUsed/>
    <w:qFormat/>
    <w:pPr>
      <w:keepLines/>
      <w:keepNext/>
      <w:spacing w:before="320" w:after="200"/>
      <w:outlineLvl w:val="8"/>
    </w:pPr>
    <w:rPr>
      <w:rFonts w:ascii="Arial" w:hAnsi="Arial" w:eastAsia="Arial" w:cs="Arial"/>
      <w:i/>
      <w:iCs/>
      <w:sz w:val="21"/>
      <w:szCs w:val="21"/>
    </w:rPr>
  </w:style>
  <w:style w:type="character" w:styleId="812">
    <w:name w:val="Heading 9 Char"/>
    <w:link w:val="811"/>
    <w:uiPriority w:val="9"/>
    <w:rPr>
      <w:rFonts w:ascii="Arial" w:hAnsi="Arial" w:eastAsia="Arial" w:cs="Arial"/>
      <w:i/>
      <w:iCs/>
      <w:sz w:val="21"/>
      <w:szCs w:val="21"/>
    </w:rPr>
  </w:style>
  <w:style w:type="paragraph" w:styleId="813">
    <w:name w:val="List Paragraph"/>
    <w:basedOn w:val="973"/>
    <w:uiPriority w:val="34"/>
    <w:qFormat/>
    <w:pPr>
      <w:contextualSpacing/>
      <w:ind w:left="720"/>
    </w:pPr>
  </w:style>
  <w:style w:type="paragraph" w:styleId="814">
    <w:name w:val="No Spacing"/>
    <w:uiPriority w:val="1"/>
    <w:qFormat/>
    <w:pPr>
      <w:spacing w:before="0" w:after="0" w:line="240" w:lineRule="auto"/>
    </w:pPr>
  </w:style>
  <w:style w:type="paragraph" w:styleId="815">
    <w:name w:val="Title"/>
    <w:basedOn w:val="973"/>
    <w:next w:val="973"/>
    <w:link w:val="816"/>
    <w:uiPriority w:val="10"/>
    <w:qFormat/>
    <w:pPr>
      <w:contextualSpacing/>
      <w:spacing w:before="300" w:after="200"/>
    </w:pPr>
    <w:rPr>
      <w:sz w:val="48"/>
      <w:szCs w:val="48"/>
    </w:rPr>
  </w:style>
  <w:style w:type="character" w:styleId="816">
    <w:name w:val="Title Char"/>
    <w:link w:val="815"/>
    <w:uiPriority w:val="10"/>
    <w:rPr>
      <w:sz w:val="48"/>
      <w:szCs w:val="48"/>
    </w:rPr>
  </w:style>
  <w:style w:type="paragraph" w:styleId="817">
    <w:name w:val="Subtitle"/>
    <w:basedOn w:val="973"/>
    <w:next w:val="973"/>
    <w:link w:val="818"/>
    <w:uiPriority w:val="11"/>
    <w:qFormat/>
    <w:pPr>
      <w:spacing w:before="200" w:after="200"/>
    </w:pPr>
    <w:rPr>
      <w:sz w:val="24"/>
      <w:szCs w:val="24"/>
    </w:rPr>
  </w:style>
  <w:style w:type="character" w:styleId="818">
    <w:name w:val="Subtitle Char"/>
    <w:link w:val="817"/>
    <w:uiPriority w:val="11"/>
    <w:rPr>
      <w:sz w:val="24"/>
      <w:szCs w:val="24"/>
    </w:rPr>
  </w:style>
  <w:style w:type="paragraph" w:styleId="819">
    <w:name w:val="Quote"/>
    <w:basedOn w:val="973"/>
    <w:next w:val="973"/>
    <w:link w:val="820"/>
    <w:uiPriority w:val="29"/>
    <w:qFormat/>
    <w:pPr>
      <w:ind w:left="720" w:right="720"/>
    </w:pPr>
    <w:rPr>
      <w:i/>
    </w:rPr>
  </w:style>
  <w:style w:type="character" w:styleId="820">
    <w:name w:val="Quote Char"/>
    <w:link w:val="819"/>
    <w:uiPriority w:val="29"/>
    <w:rPr>
      <w:i/>
    </w:rPr>
  </w:style>
  <w:style w:type="paragraph" w:styleId="821">
    <w:name w:val="Intense Quote"/>
    <w:basedOn w:val="973"/>
    <w:next w:val="973"/>
    <w:link w:val="82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22">
    <w:name w:val="Intense Quote Char"/>
    <w:link w:val="821"/>
    <w:uiPriority w:val="30"/>
    <w:rPr>
      <w:i/>
    </w:rPr>
  </w:style>
  <w:style w:type="paragraph" w:styleId="823">
    <w:name w:val="Header"/>
    <w:basedOn w:val="973"/>
    <w:link w:val="824"/>
    <w:uiPriority w:val="99"/>
    <w:unhideWhenUsed/>
    <w:pPr>
      <w:spacing w:after="0" w:line="240" w:lineRule="auto"/>
      <w:tabs>
        <w:tab w:val="center" w:pos="7143" w:leader="none"/>
        <w:tab w:val="right" w:pos="14287" w:leader="none"/>
      </w:tabs>
    </w:pPr>
  </w:style>
  <w:style w:type="character" w:styleId="824">
    <w:name w:val="Header Char"/>
    <w:link w:val="823"/>
    <w:uiPriority w:val="99"/>
  </w:style>
  <w:style w:type="paragraph" w:styleId="825">
    <w:name w:val="Footer"/>
    <w:basedOn w:val="973"/>
    <w:link w:val="828"/>
    <w:uiPriority w:val="99"/>
    <w:unhideWhenUsed/>
    <w:pPr>
      <w:spacing w:after="0" w:line="240" w:lineRule="auto"/>
      <w:tabs>
        <w:tab w:val="center" w:pos="7143" w:leader="none"/>
        <w:tab w:val="right" w:pos="14287" w:leader="none"/>
      </w:tabs>
    </w:pPr>
  </w:style>
  <w:style w:type="character" w:styleId="826">
    <w:name w:val="Footer Char"/>
    <w:link w:val="825"/>
    <w:uiPriority w:val="99"/>
  </w:style>
  <w:style w:type="paragraph" w:styleId="827">
    <w:name w:val="Caption"/>
    <w:basedOn w:val="973"/>
    <w:next w:val="973"/>
    <w:link w:val="828"/>
    <w:uiPriority w:val="35"/>
    <w:semiHidden/>
    <w:unhideWhenUsed/>
    <w:qFormat/>
    <w:pPr>
      <w:spacing w:line="276" w:lineRule="auto"/>
    </w:pPr>
    <w:rPr>
      <w:b/>
      <w:bCs/>
      <w:color w:val="4f81bd" w:themeColor="accent1"/>
      <w:sz w:val="18"/>
      <w:szCs w:val="18"/>
    </w:rPr>
  </w:style>
  <w:style w:type="character" w:styleId="828">
    <w:name w:val="Caption Char"/>
    <w:basedOn w:val="827"/>
    <w:link w:val="825"/>
    <w:uiPriority w:val="99"/>
  </w:style>
  <w:style w:type="table" w:styleId="829">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30">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31">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2">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3">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4">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5">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36">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37">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38">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39">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40">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41">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42">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43">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44">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45">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46">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47">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48">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49">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50">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1">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2">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3">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4">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5">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6">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7">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8">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59">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60">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61">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62">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63">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64">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65">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66">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7">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8">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9">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0">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71">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72">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73">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74">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75">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76">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7">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8">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79">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80">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81">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82">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83">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84">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85">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6">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87">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88">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89">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90">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91">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92">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93">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94">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95">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96">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97">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98">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99">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0">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1">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02">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03">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04">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05">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06">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7">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8">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09">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10">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11">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12">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13">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4">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5">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6">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7">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8">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9">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0">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21">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22">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23">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24">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25">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26">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27">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28">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29">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30">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31">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32">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33">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34">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5">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6">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7">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38">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39">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0">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1">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2">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3">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4">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5">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6">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7">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8">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49">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50">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51">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52">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53">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54">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55">
    <w:name w:val="Hyperlink"/>
    <w:uiPriority w:val="99"/>
    <w:unhideWhenUsed/>
    <w:rPr>
      <w:color w:val="0000ff" w:themeColor="hyperlink"/>
      <w:u w:val="single"/>
    </w:rPr>
  </w:style>
  <w:style w:type="paragraph" w:styleId="956">
    <w:name w:val="footnote text"/>
    <w:basedOn w:val="973"/>
    <w:link w:val="957"/>
    <w:uiPriority w:val="99"/>
    <w:semiHidden/>
    <w:unhideWhenUsed/>
    <w:pPr>
      <w:spacing w:after="40" w:line="240" w:lineRule="auto"/>
    </w:pPr>
    <w:rPr>
      <w:sz w:val="18"/>
    </w:rPr>
  </w:style>
  <w:style w:type="character" w:styleId="957">
    <w:name w:val="Footnote Text Char"/>
    <w:link w:val="956"/>
    <w:uiPriority w:val="99"/>
    <w:rPr>
      <w:sz w:val="18"/>
    </w:rPr>
  </w:style>
  <w:style w:type="character" w:styleId="958">
    <w:name w:val="footnote reference"/>
    <w:uiPriority w:val="99"/>
    <w:unhideWhenUsed/>
    <w:rPr>
      <w:vertAlign w:val="superscript"/>
    </w:rPr>
  </w:style>
  <w:style w:type="paragraph" w:styleId="959">
    <w:name w:val="endnote text"/>
    <w:basedOn w:val="973"/>
    <w:link w:val="960"/>
    <w:uiPriority w:val="99"/>
    <w:semiHidden/>
    <w:unhideWhenUsed/>
    <w:pPr>
      <w:spacing w:after="0" w:line="240" w:lineRule="auto"/>
    </w:pPr>
    <w:rPr>
      <w:sz w:val="20"/>
    </w:rPr>
  </w:style>
  <w:style w:type="character" w:styleId="960">
    <w:name w:val="Endnote Text Char"/>
    <w:link w:val="959"/>
    <w:uiPriority w:val="99"/>
    <w:rPr>
      <w:sz w:val="20"/>
    </w:rPr>
  </w:style>
  <w:style w:type="character" w:styleId="961">
    <w:name w:val="endnote reference"/>
    <w:uiPriority w:val="99"/>
    <w:semiHidden/>
    <w:unhideWhenUsed/>
    <w:rPr>
      <w:vertAlign w:val="superscript"/>
    </w:rPr>
  </w:style>
  <w:style w:type="paragraph" w:styleId="962">
    <w:name w:val="toc 1"/>
    <w:basedOn w:val="973"/>
    <w:next w:val="973"/>
    <w:uiPriority w:val="39"/>
    <w:unhideWhenUsed/>
    <w:pPr>
      <w:ind w:left="0" w:right="0" w:firstLine="0"/>
      <w:spacing w:after="57"/>
    </w:pPr>
  </w:style>
  <w:style w:type="paragraph" w:styleId="963">
    <w:name w:val="toc 2"/>
    <w:basedOn w:val="973"/>
    <w:next w:val="973"/>
    <w:uiPriority w:val="39"/>
    <w:unhideWhenUsed/>
    <w:pPr>
      <w:ind w:left="283" w:right="0" w:firstLine="0"/>
      <w:spacing w:after="57"/>
    </w:pPr>
  </w:style>
  <w:style w:type="paragraph" w:styleId="964">
    <w:name w:val="toc 3"/>
    <w:basedOn w:val="973"/>
    <w:next w:val="973"/>
    <w:uiPriority w:val="39"/>
    <w:unhideWhenUsed/>
    <w:pPr>
      <w:ind w:left="567" w:right="0" w:firstLine="0"/>
      <w:spacing w:after="57"/>
    </w:pPr>
  </w:style>
  <w:style w:type="paragraph" w:styleId="965">
    <w:name w:val="toc 4"/>
    <w:basedOn w:val="973"/>
    <w:next w:val="973"/>
    <w:uiPriority w:val="39"/>
    <w:unhideWhenUsed/>
    <w:pPr>
      <w:ind w:left="850" w:right="0" w:firstLine="0"/>
      <w:spacing w:after="57"/>
    </w:pPr>
  </w:style>
  <w:style w:type="paragraph" w:styleId="966">
    <w:name w:val="toc 5"/>
    <w:basedOn w:val="973"/>
    <w:next w:val="973"/>
    <w:uiPriority w:val="39"/>
    <w:unhideWhenUsed/>
    <w:pPr>
      <w:ind w:left="1134" w:right="0" w:firstLine="0"/>
      <w:spacing w:after="57"/>
    </w:pPr>
  </w:style>
  <w:style w:type="paragraph" w:styleId="967">
    <w:name w:val="toc 6"/>
    <w:basedOn w:val="973"/>
    <w:next w:val="973"/>
    <w:uiPriority w:val="39"/>
    <w:unhideWhenUsed/>
    <w:pPr>
      <w:ind w:left="1417" w:right="0" w:firstLine="0"/>
      <w:spacing w:after="57"/>
    </w:pPr>
  </w:style>
  <w:style w:type="paragraph" w:styleId="968">
    <w:name w:val="toc 7"/>
    <w:basedOn w:val="973"/>
    <w:next w:val="973"/>
    <w:uiPriority w:val="39"/>
    <w:unhideWhenUsed/>
    <w:pPr>
      <w:ind w:left="1701" w:right="0" w:firstLine="0"/>
      <w:spacing w:after="57"/>
    </w:pPr>
  </w:style>
  <w:style w:type="paragraph" w:styleId="969">
    <w:name w:val="toc 8"/>
    <w:basedOn w:val="973"/>
    <w:next w:val="973"/>
    <w:uiPriority w:val="39"/>
    <w:unhideWhenUsed/>
    <w:pPr>
      <w:ind w:left="1984" w:right="0" w:firstLine="0"/>
      <w:spacing w:after="57"/>
    </w:pPr>
  </w:style>
  <w:style w:type="paragraph" w:styleId="970">
    <w:name w:val="toc 9"/>
    <w:basedOn w:val="973"/>
    <w:next w:val="973"/>
    <w:uiPriority w:val="39"/>
    <w:unhideWhenUsed/>
    <w:pPr>
      <w:ind w:left="2268" w:right="0" w:firstLine="0"/>
      <w:spacing w:after="57"/>
    </w:pPr>
  </w:style>
  <w:style w:type="paragraph" w:styleId="971">
    <w:name w:val="TOC Heading"/>
    <w:uiPriority w:val="39"/>
    <w:unhideWhenUsed/>
  </w:style>
  <w:style w:type="paragraph" w:styleId="972">
    <w:name w:val="table of figures"/>
    <w:basedOn w:val="973"/>
    <w:next w:val="973"/>
    <w:uiPriority w:val="99"/>
    <w:unhideWhenUsed/>
    <w:pPr>
      <w:spacing w:after="0" w:afterAutospacing="0"/>
    </w:pPr>
  </w:style>
  <w:style w:type="paragraph" w:styleId="973" w:default="1">
    <w:name w:val="Normal"/>
    <w:next w:val="973"/>
    <w:link w:val="973"/>
    <w:qFormat/>
    <w:rPr>
      <w:sz w:val="24"/>
      <w:szCs w:val="24"/>
      <w:lang w:val="ru-RU" w:eastAsia="ru-RU" w:bidi="ar-SA"/>
    </w:rPr>
  </w:style>
  <w:style w:type="character" w:styleId="974">
    <w:name w:val="Основной шрифт абзаца"/>
    <w:next w:val="974"/>
    <w:link w:val="973"/>
    <w:uiPriority w:val="1"/>
    <w:semiHidden/>
    <w:unhideWhenUsed/>
  </w:style>
  <w:style w:type="table" w:styleId="975">
    <w:name w:val="Обычная таблица"/>
    <w:next w:val="975"/>
    <w:link w:val="973"/>
    <w:uiPriority w:val="99"/>
    <w:semiHidden/>
    <w:unhideWhenUsed/>
    <w:tblPr/>
  </w:style>
  <w:style w:type="numbering" w:styleId="976">
    <w:name w:val="Нет списка"/>
    <w:next w:val="976"/>
    <w:link w:val="973"/>
    <w:uiPriority w:val="99"/>
    <w:semiHidden/>
    <w:unhideWhenUsed/>
  </w:style>
  <w:style w:type="paragraph" w:styleId="977">
    <w:name w:val="Текст выноски"/>
    <w:basedOn w:val="973"/>
    <w:next w:val="977"/>
    <w:link w:val="979"/>
    <w:uiPriority w:val="99"/>
    <w:semiHidden/>
    <w:rPr>
      <w:sz w:val="20"/>
      <w:szCs w:val="20"/>
      <w:lang w:val="en-US" w:eastAsia="en-US"/>
    </w:rPr>
  </w:style>
  <w:style w:type="paragraph" w:styleId="978">
    <w:name w:val="Знак Char Char Знак Знак Char Char Знак Char Char Знак Char Char Знак Знак Знак Знак Знак Char Char Знак Char Char"/>
    <w:basedOn w:val="973"/>
    <w:next w:val="978"/>
    <w:link w:val="973"/>
    <w:uiPriority w:val="99"/>
    <w:pPr>
      <w:spacing w:after="160" w:line="240" w:lineRule="exact"/>
    </w:pPr>
    <w:rPr>
      <w:rFonts w:ascii="Verdana" w:hAnsi="Verdana"/>
      <w:sz w:val="20"/>
      <w:szCs w:val="20"/>
      <w:lang w:val="en-US" w:eastAsia="en-US"/>
    </w:rPr>
  </w:style>
  <w:style w:type="character" w:styleId="979">
    <w:name w:val="Текст выноски Знак"/>
    <w:next w:val="979"/>
    <w:link w:val="977"/>
    <w:uiPriority w:val="99"/>
    <w:semiHidden/>
    <w:rPr>
      <w:lang w:val="en-US" w:eastAsia="en-US"/>
    </w:rPr>
  </w:style>
  <w:style w:type="paragraph" w:styleId="980">
    <w:name w:val="Основной текст с отступом"/>
    <w:basedOn w:val="973"/>
    <w:next w:val="980"/>
    <w:link w:val="982"/>
    <w:uiPriority w:val="99"/>
    <w:pPr>
      <w:ind w:left="284" w:hanging="284"/>
      <w:jc w:val="both"/>
    </w:pPr>
    <w:rPr>
      <w:lang w:val="en-US" w:eastAsia="en-US"/>
    </w:rPr>
  </w:style>
  <w:style w:type="paragraph" w:styleId="981">
    <w:name w:val="Список 2"/>
    <w:basedOn w:val="973"/>
    <w:next w:val="981"/>
    <w:link w:val="973"/>
    <w:pPr>
      <w:jc w:val="both"/>
      <w:spacing w:before="60"/>
    </w:pPr>
    <w:rPr>
      <w:rFonts w:ascii="PragmaticaCTT" w:hAnsi="PragmaticaCTT" w:cs="Arial Unicode MS"/>
    </w:rPr>
  </w:style>
  <w:style w:type="character" w:styleId="982">
    <w:name w:val="Основной текст с отступом Знак"/>
    <w:next w:val="982"/>
    <w:link w:val="980"/>
    <w:uiPriority w:val="99"/>
    <w:semiHidden/>
    <w:rPr>
      <w:rFonts w:cs="Times New Roman"/>
      <w:sz w:val="24"/>
      <w:szCs w:val="24"/>
    </w:rPr>
  </w:style>
  <w:style w:type="table" w:styleId="983">
    <w:name w:val="Сетка таблицы"/>
    <w:basedOn w:val="975"/>
    <w:next w:val="983"/>
    <w:link w:val="973"/>
    <w:uiPriority w:val="99"/>
    <w:tblPr/>
  </w:style>
  <w:style w:type="paragraph" w:styleId="984">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73"/>
    <w:next w:val="984"/>
    <w:link w:val="986"/>
    <w:uiPriority w:val="99"/>
    <w:qFormat/>
    <w:rPr>
      <w:sz w:val="20"/>
      <w:szCs w:val="20"/>
      <w:lang w:val="en-US" w:eastAsia="en-US"/>
    </w:rPr>
  </w:style>
  <w:style w:type="character" w:styleId="985">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85"/>
    <w:link w:val="973"/>
    <w:qFormat/>
    <w:rPr>
      <w:rFonts w:cs="Times New Roman"/>
      <w:vertAlign w:val="superscript"/>
    </w:rPr>
  </w:style>
  <w:style w:type="character" w:styleId="986">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86"/>
    <w:link w:val="984"/>
    <w:uiPriority w:val="99"/>
    <w:qFormat/>
    <w:rPr>
      <w:rFonts w:cs="Times New Roman"/>
    </w:rPr>
  </w:style>
  <w:style w:type="paragraph" w:styleId="987">
    <w:name w:val="Название"/>
    <w:basedOn w:val="973"/>
    <w:next w:val="987"/>
    <w:link w:val="989"/>
    <w:uiPriority w:val="99"/>
    <w:qFormat/>
    <w:pPr>
      <w:jc w:val="center"/>
    </w:pPr>
    <w:rPr>
      <w:rFonts w:ascii="Cambria" w:hAnsi="Cambria"/>
      <w:b/>
      <w:bCs/>
      <w:sz w:val="32"/>
      <w:szCs w:val="32"/>
      <w:lang w:val="en-US" w:eastAsia="en-US"/>
    </w:rPr>
  </w:style>
  <w:style w:type="paragraph" w:styleId="988">
    <w:name w:val="Текст"/>
    <w:basedOn w:val="973"/>
    <w:next w:val="988"/>
    <w:link w:val="991"/>
    <w:uiPriority w:val="99"/>
    <w:rPr>
      <w:rFonts w:ascii="Courier New" w:hAnsi="Courier New"/>
      <w:sz w:val="20"/>
      <w:szCs w:val="20"/>
      <w:lang w:val="en-US" w:eastAsia="en-US"/>
    </w:rPr>
  </w:style>
  <w:style w:type="character" w:styleId="989">
    <w:name w:val="Название Знак"/>
    <w:next w:val="989"/>
    <w:link w:val="987"/>
    <w:uiPriority w:val="99"/>
    <w:rPr>
      <w:rFonts w:ascii="Cambria" w:hAnsi="Cambria" w:cs="Times New Roman"/>
      <w:b/>
      <w:bCs/>
      <w:sz w:val="32"/>
      <w:szCs w:val="32"/>
    </w:rPr>
  </w:style>
  <w:style w:type="character" w:styleId="990">
    <w:name w:val="Знак примечания"/>
    <w:next w:val="990"/>
    <w:link w:val="973"/>
    <w:uiPriority w:val="99"/>
    <w:semiHidden/>
    <w:rPr>
      <w:rFonts w:cs="Times New Roman"/>
      <w:sz w:val="16"/>
      <w:szCs w:val="16"/>
    </w:rPr>
  </w:style>
  <w:style w:type="character" w:styleId="991">
    <w:name w:val="Текст Знак"/>
    <w:next w:val="991"/>
    <w:link w:val="988"/>
    <w:uiPriority w:val="99"/>
    <w:semiHidden/>
    <w:rPr>
      <w:rFonts w:ascii="Courier New" w:hAnsi="Courier New" w:cs="Courier New"/>
    </w:rPr>
  </w:style>
  <w:style w:type="paragraph" w:styleId="992">
    <w:name w:val="Текст примечания"/>
    <w:basedOn w:val="973"/>
    <w:next w:val="992"/>
    <w:link w:val="994"/>
    <w:uiPriority w:val="99"/>
    <w:semiHidden/>
    <w:rPr>
      <w:sz w:val="20"/>
      <w:szCs w:val="20"/>
      <w:lang w:val="en-US" w:eastAsia="en-US"/>
    </w:rPr>
  </w:style>
  <w:style w:type="paragraph" w:styleId="993">
    <w:name w:val="Тема примечания"/>
    <w:basedOn w:val="992"/>
    <w:next w:val="992"/>
    <w:link w:val="996"/>
    <w:uiPriority w:val="99"/>
    <w:semiHidden/>
    <w:rPr>
      <w:b/>
      <w:bCs/>
    </w:rPr>
  </w:style>
  <w:style w:type="character" w:styleId="994">
    <w:name w:val="Текст примечания Знак"/>
    <w:next w:val="994"/>
    <w:link w:val="992"/>
    <w:uiPriority w:val="99"/>
    <w:semiHidden/>
    <w:rPr>
      <w:rFonts w:cs="Times New Roman"/>
    </w:rPr>
  </w:style>
  <w:style w:type="paragraph" w:styleId="995">
    <w:name w:val="Верхний колонтитул,Linie,ВерхКолонтитул"/>
    <w:basedOn w:val="973"/>
    <w:next w:val="995"/>
    <w:link w:val="998"/>
    <w:uiPriority w:val="99"/>
    <w:pPr>
      <w:tabs>
        <w:tab w:val="center" w:pos="4677" w:leader="none"/>
        <w:tab w:val="right" w:pos="9355" w:leader="none"/>
      </w:tabs>
    </w:pPr>
    <w:rPr>
      <w:lang w:val="en-US" w:eastAsia="en-US"/>
    </w:rPr>
  </w:style>
  <w:style w:type="character" w:styleId="996">
    <w:name w:val="Тема примечания Знак"/>
    <w:next w:val="996"/>
    <w:link w:val="993"/>
    <w:uiPriority w:val="99"/>
    <w:semiHidden/>
    <w:rPr>
      <w:rFonts w:cs="Times New Roman"/>
      <w:b/>
      <w:bCs/>
    </w:rPr>
  </w:style>
  <w:style w:type="paragraph" w:styleId="997">
    <w:name w:val="Нижний колонтитул"/>
    <w:basedOn w:val="973"/>
    <w:next w:val="997"/>
    <w:link w:val="1000"/>
    <w:uiPriority w:val="99"/>
    <w:pPr>
      <w:tabs>
        <w:tab w:val="center" w:pos="4677" w:leader="none"/>
        <w:tab w:val="right" w:pos="9355" w:leader="none"/>
      </w:tabs>
    </w:pPr>
    <w:rPr>
      <w:lang w:val="en-US" w:eastAsia="en-US"/>
    </w:rPr>
  </w:style>
  <w:style w:type="character" w:styleId="998">
    <w:name w:val="Верхний колонтитул Знак,Linie Знак,ВерхКолонтитул Знак"/>
    <w:next w:val="998"/>
    <w:link w:val="995"/>
    <w:uiPriority w:val="99"/>
    <w:rPr>
      <w:rFonts w:cs="Times New Roman"/>
      <w:sz w:val="24"/>
      <w:szCs w:val="24"/>
    </w:rPr>
  </w:style>
  <w:style w:type="paragraph" w:styleId="999">
    <w:name w:val="Основной текст 2"/>
    <w:basedOn w:val="973"/>
    <w:next w:val="999"/>
    <w:link w:val="1002"/>
    <w:pPr>
      <w:spacing w:after="120" w:line="480" w:lineRule="auto"/>
    </w:pPr>
    <w:rPr>
      <w:lang w:val="en-US" w:eastAsia="en-US"/>
    </w:rPr>
  </w:style>
  <w:style w:type="character" w:styleId="1000">
    <w:name w:val="Нижний колонтитул Знак"/>
    <w:next w:val="1000"/>
    <w:link w:val="997"/>
    <w:uiPriority w:val="99"/>
    <w:semiHidden/>
    <w:rPr>
      <w:rFonts w:cs="Times New Roman"/>
      <w:sz w:val="24"/>
      <w:szCs w:val="24"/>
    </w:rPr>
  </w:style>
  <w:style w:type="table" w:styleId="1001">
    <w:name w:val="Сетка таблицы1"/>
    <w:next w:val="1001"/>
    <w:link w:val="973"/>
    <w:uiPriority w:val="99"/>
    <w:rPr>
      <w:lang w:val="ru-RU" w:eastAsia="ru-RU" w:bidi="ar-SA"/>
    </w:rPr>
    <w:tblPr/>
  </w:style>
  <w:style w:type="character" w:styleId="1002">
    <w:name w:val="Основной текст 2 Знак"/>
    <w:next w:val="1002"/>
    <w:link w:val="999"/>
    <w:rPr>
      <w:rFonts w:cs="Times New Roman"/>
      <w:sz w:val="24"/>
      <w:szCs w:val="24"/>
    </w:rPr>
  </w:style>
  <w:style w:type="character" w:styleId="1003">
    <w:name w:val="Номер страницы"/>
    <w:next w:val="1003"/>
    <w:link w:val="973"/>
    <w:uiPriority w:val="99"/>
    <w:rPr>
      <w:rFonts w:cs="Times New Roman"/>
    </w:rPr>
  </w:style>
  <w:style w:type="paragraph" w:styleId="1004">
    <w:name w:val="Текст концевой сноски"/>
    <w:basedOn w:val="973"/>
    <w:next w:val="1004"/>
    <w:link w:val="1006"/>
    <w:uiPriority w:val="99"/>
    <w:semiHidden/>
    <w:rPr>
      <w:sz w:val="20"/>
      <w:szCs w:val="20"/>
      <w:lang w:val="en-US" w:eastAsia="en-US"/>
    </w:rPr>
  </w:style>
  <w:style w:type="character" w:styleId="1005">
    <w:name w:val="Знак концевой сноски"/>
    <w:next w:val="1005"/>
    <w:link w:val="973"/>
    <w:uiPriority w:val="99"/>
    <w:semiHidden/>
    <w:rPr>
      <w:rFonts w:cs="Times New Roman"/>
      <w:vertAlign w:val="superscript"/>
    </w:rPr>
  </w:style>
  <w:style w:type="character" w:styleId="1006">
    <w:name w:val="Текст концевой сноски Знак"/>
    <w:next w:val="1006"/>
    <w:link w:val="1004"/>
    <w:uiPriority w:val="99"/>
    <w:semiHidden/>
    <w:rPr>
      <w:rFonts w:cs="Times New Roman"/>
    </w:rPr>
  </w:style>
  <w:style w:type="character" w:styleId="1007">
    <w:name w:val="Гиперссылка"/>
    <w:next w:val="1007"/>
    <w:link w:val="973"/>
    <w:uiPriority w:val="99"/>
    <w:rPr>
      <w:rFonts w:cs="Times New Roman"/>
      <w:color w:val="0000ff"/>
      <w:u w:val="single"/>
    </w:rPr>
  </w:style>
  <w:style w:type="paragraph" w:styleId="1008">
    <w:name w:val="Рецензия"/>
    <w:next w:val="1008"/>
    <w:link w:val="973"/>
    <w:hidden/>
    <w:uiPriority w:val="99"/>
    <w:semiHidden/>
    <w:rPr>
      <w:sz w:val="24"/>
      <w:szCs w:val="24"/>
      <w:lang w:val="ru-RU" w:eastAsia="ru-RU" w:bidi="ar-SA"/>
    </w:rPr>
  </w:style>
  <w:style w:type="paragraph" w:styleId="1009">
    <w:name w:val="Абзац списка,Table-Normal,RSHB_Table-Normal,Список с узором,List Paragraph"/>
    <w:basedOn w:val="973"/>
    <w:next w:val="1009"/>
    <w:link w:val="1010"/>
    <w:uiPriority w:val="34"/>
    <w:qFormat/>
    <w:pPr>
      <w:contextualSpacing/>
      <w:ind w:left="720"/>
      <w:spacing w:after="160" w:line="259" w:lineRule="auto"/>
    </w:pPr>
    <w:rPr>
      <w:rFonts w:ascii="Calibri" w:hAnsi="Calibri" w:eastAsia="Calibri"/>
      <w:sz w:val="22"/>
      <w:szCs w:val="22"/>
      <w:lang w:eastAsia="en-US"/>
    </w:rPr>
  </w:style>
  <w:style w:type="character" w:styleId="1010">
    <w:name w:val="Абзац списка Знак,Table-Normal Знак,RSHB_Table-Normal Знак,Список с узором Знак,List Paragraph Знак"/>
    <w:next w:val="1010"/>
    <w:link w:val="1009"/>
    <w:uiPriority w:val="34"/>
    <w:rPr>
      <w:rFonts w:ascii="Calibri" w:hAnsi="Calibri" w:eastAsia="Calibri"/>
      <w:sz w:val="22"/>
      <w:szCs w:val="22"/>
      <w:lang w:eastAsia="en-US"/>
    </w:rPr>
  </w:style>
  <w:style w:type="character" w:styleId="1011" w:default="1">
    <w:name w:val="Default Paragraph Font"/>
    <w:uiPriority w:val="1"/>
    <w:semiHidden/>
    <w:unhideWhenUsed/>
  </w:style>
  <w:style w:type="numbering" w:styleId="1012" w:default="1">
    <w:name w:val="No List"/>
    <w:uiPriority w:val="99"/>
    <w:semiHidden/>
    <w:unhideWhenUsed/>
  </w:style>
  <w:style w:type="table" w:styleId="101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26</cp:revision>
  <dcterms:created xsi:type="dcterms:W3CDTF">2024-10-24T13:24:00Z</dcterms:created>
  <dcterms:modified xsi:type="dcterms:W3CDTF">2026-01-14T08:41:44Z</dcterms:modified>
  <cp:version>1048576</cp:version>
</cp:coreProperties>
</file>